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E37142" w:rsidRDefault="004C5657" w:rsidP="00E37142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37142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575344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40361C">
        <w:rPr>
          <w:rFonts w:asciiTheme="minorHAnsi" w:eastAsiaTheme="minorEastAsia" w:hAnsiTheme="minorHAnsi" w:cstheme="minorHAnsi"/>
          <w:b/>
          <w:sz w:val="22"/>
          <w:szCs w:val="22"/>
        </w:rPr>
        <w:t>C</w:t>
      </w:r>
      <w:r w:rsidR="001E0C34">
        <w:rPr>
          <w:rFonts w:asciiTheme="minorHAnsi" w:eastAsiaTheme="minorEastAsia" w:hAnsiTheme="minorHAnsi" w:cstheme="minorHAnsi"/>
          <w:b/>
          <w:sz w:val="22"/>
          <w:szCs w:val="22"/>
        </w:rPr>
        <w:t>IV</w:t>
      </w:r>
      <w:r w:rsidR="00CD46DD" w:rsidRPr="00E37142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2756D1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BC614A">
        <w:rPr>
          <w:rFonts w:asciiTheme="minorHAnsi" w:eastAsiaTheme="minorEastAsia" w:hAnsiTheme="minorHAnsi" w:cstheme="minorHAnsi"/>
          <w:b/>
          <w:sz w:val="22"/>
          <w:szCs w:val="22"/>
        </w:rPr>
        <w:t xml:space="preserve">1 stycznia </w:t>
      </w:r>
      <w:r w:rsidR="00AE416A" w:rsidRPr="00E37142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E37142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4074" w:type="dxa"/>
        <w:tblLook w:val="04A0" w:firstRow="1" w:lastRow="0" w:firstColumn="1" w:lastColumn="0" w:noHBand="0" w:noVBand="1"/>
        <w:tblDescription w:val="Porządek obrad zrealizowany podczas 74 sesji Rady m.st. Warszawy 15 grudnia 2022 r."/>
      </w:tblPr>
      <w:tblGrid>
        <w:gridCol w:w="685"/>
        <w:gridCol w:w="1620"/>
        <w:gridCol w:w="6045"/>
        <w:gridCol w:w="1898"/>
        <w:gridCol w:w="1825"/>
        <w:gridCol w:w="2001"/>
      </w:tblGrid>
      <w:tr w:rsidR="00037476" w:rsidRPr="00E37142" w:rsidTr="00A6438A">
        <w:trPr>
          <w:cantSplit/>
          <w:tblHeader/>
        </w:trPr>
        <w:tc>
          <w:tcPr>
            <w:tcW w:w="685" w:type="dxa"/>
            <w:vAlign w:val="center"/>
          </w:tcPr>
          <w:p w:rsidR="00037476" w:rsidRPr="00E37142" w:rsidRDefault="00037476" w:rsidP="00E37142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620" w:type="dxa"/>
            <w:vAlign w:val="center"/>
          </w:tcPr>
          <w:p w:rsidR="00037476" w:rsidRPr="003B6BEE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6BEE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6045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825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2001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B21BBF" w:rsidRPr="00E37142" w:rsidTr="00A6438A">
        <w:trPr>
          <w:cantSplit/>
        </w:trPr>
        <w:tc>
          <w:tcPr>
            <w:tcW w:w="685" w:type="dxa"/>
            <w:vAlign w:val="center"/>
          </w:tcPr>
          <w:p w:rsidR="00B21BBF" w:rsidRPr="00E37142" w:rsidRDefault="00B21BBF" w:rsidP="00B21BBF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1BBF" w:rsidRPr="00056D97" w:rsidRDefault="00B21BBF" w:rsidP="00B21BBF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B21BBF" w:rsidRPr="00B21BBF" w:rsidRDefault="00B21BBF" w:rsidP="00B21BBF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Otwarcie posiedzenia</w:t>
            </w:r>
          </w:p>
        </w:tc>
        <w:tc>
          <w:tcPr>
            <w:tcW w:w="1898" w:type="dxa"/>
          </w:tcPr>
          <w:p w:rsidR="00B21BBF" w:rsidRDefault="00C55BF5" w:rsidP="00B21BBF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B21BBF" w:rsidRDefault="00B21BBF" w:rsidP="00B21BBF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B21BBF" w:rsidRPr="00B729A3" w:rsidRDefault="00B21BBF" w:rsidP="00B21BBF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A6438A" w:rsidRPr="00E37142" w:rsidTr="00B65563">
        <w:trPr>
          <w:cantSplit/>
        </w:trPr>
        <w:tc>
          <w:tcPr>
            <w:tcW w:w="685" w:type="dxa"/>
            <w:vAlign w:val="center"/>
          </w:tcPr>
          <w:p w:rsidR="00A6438A" w:rsidRPr="00E37142" w:rsidRDefault="00A6438A" w:rsidP="00A6438A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bookmarkStart w:id="0" w:name="_GoBack" w:colFirst="4" w:colLast="5"/>
          </w:p>
        </w:tc>
        <w:tc>
          <w:tcPr>
            <w:tcW w:w="1620" w:type="dxa"/>
          </w:tcPr>
          <w:p w:rsidR="00A6438A" w:rsidRDefault="00A6438A" w:rsidP="00A6438A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A6438A" w:rsidRPr="00B21BBF" w:rsidRDefault="00A6438A" w:rsidP="00A6438A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Prezydenta m. st. Warszawy dotycząca szczegółowych planów związanych z poprawą warunków pracy personelu niepedagogicznego szkół specjalnych podlegających pod miasto, w tym w szczególności: podwyżek wynagrodzenia zasadniczego do ustawowej wysokości płacy minimalnej; zaprzestania włączania dodatków (premii regulaminowych, stawek za określone obowiązki służbowe, dodatku za „wysługę lat”) do wynagrodzenia w celu uniknięcia podwyższania płacy minimalnej; wprowadzenia corocznej waloryzacji wynagrodzeń zasadniczych w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wysokości odpowiadającej procentowemu wzrostowi minimalnego wynagrodzenia za pracę; wprowadzenia dodatku z tytułu opieki nad niepełnosprawnymi dziećmi i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młodzieżą o wysokości 20%; przedstawienia dokładnego budżetu przeznaczonego na powyżej przedstawione plany</w:t>
            </w:r>
          </w:p>
        </w:tc>
        <w:tc>
          <w:tcPr>
            <w:tcW w:w="1898" w:type="dxa"/>
          </w:tcPr>
          <w:p w:rsidR="00A6438A" w:rsidRDefault="00A6438A" w:rsidP="00A643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A6438A" w:rsidRDefault="00A6438A" w:rsidP="00A6438A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A6438A" w:rsidRDefault="00A6438A" w:rsidP="00A6438A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bookmarkEnd w:id="0"/>
      <w:tr w:rsidR="00C55BF5" w:rsidRPr="00E37142" w:rsidTr="00A6438A">
        <w:trPr>
          <w:cantSplit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Prezydenta m. st. Warszawy dotycząca szczegółowych planów związanych z poprawą warunków pracy pracownic i pracowników instytucji kultury podlegających pod miasto, w tym w szczególności: podwyżek wynagrodzenia zasadniczego do ustawowej wysokości płacy minimalnej; zaprzestania włączania dodatków (premii regulaminowych, stawek za określone obowiązki służbowe, dodatku za „wysługę lat”) do wynagrodzenia w celu uniknięcia podwyższania płacy minimalnej; wprowadzenia corocznej waloryzacji wynagrodzeń zasadniczych w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wysokości odpowiadającej procentowemu wzrostowi minimalnego wynagrodzenia za pracę; podwyższenia wynagrodzeń zasadniczych pracowników i pracownic zarabiających powyżej płacy minimalnej (stanowiących m.in. personel administracyjny, producencki, techniczny, merytoryczny, konserwatorski) o 30%; przedstawienia dokładnego budżetu przeznaczonego na powyższe plany</w:t>
            </w:r>
          </w:p>
        </w:tc>
        <w:tc>
          <w:tcPr>
            <w:tcW w:w="1898" w:type="dxa"/>
          </w:tcPr>
          <w:p w:rsidR="00C55BF5" w:rsidRDefault="00C55BF5" w:rsidP="00C55BF5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8143F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  <w:trHeight w:val="3366"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ezydenta m. st. Warszawy wraz z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przedstawieniem dokumentacji dotyczącej planów: wyciągnięcia odpowiednich konsekwencji za niewłaściwe gospodarowanie mieniem TBS Warszawa Północ, zwiększenia transparentności dotyczącej stanu spłaty kredytów każdego bloku podlegającego pod zasób; wprowadzenia odpowiednich regulacji w sprawie gospodarowania mieniem zasobu oraz renowacji budynków zasobu; przedstawienie dokładnego budżetu (rozdzielonego na konkretne miesiące 2024 roku) przeznaczonego na pokrycie powyżej opisanych planów</w:t>
            </w:r>
          </w:p>
        </w:tc>
        <w:tc>
          <w:tcPr>
            <w:tcW w:w="1898" w:type="dxa"/>
          </w:tcPr>
          <w:p w:rsidR="00C55BF5" w:rsidRDefault="00C55BF5" w:rsidP="00C55BF5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8143F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ezydenta m. st. Warszawy wraz z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przedstawieniem dokumentacji dotyczącej budynków wywłaszczonych wskutek wyroku NSA z 22 sierpnia 2022 roku </w:t>
            </w:r>
            <w:proofErr w:type="spellStart"/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ws</w:t>
            </w:r>
            <w:proofErr w:type="spellEnd"/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dekretu warszawskiego</w:t>
            </w:r>
          </w:p>
        </w:tc>
        <w:tc>
          <w:tcPr>
            <w:tcW w:w="1898" w:type="dxa"/>
          </w:tcPr>
          <w:p w:rsidR="00C55BF5" w:rsidRDefault="00C55BF5" w:rsidP="00C55BF5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Prezydenta m. st. Warszawy wraz z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przedstawieniem szczegółowych planów: podłączenia kamienic zawierających mieszkania zasobu gminnego do centralnego ogrzewania; okresowych zwolnień z czynszów dla lokatorów i lokatorek mieszkań zasobu gminnego zmuszonych ogrzewać się najdroższymi metodami do czasu umożliwienia korzystania z centralnego ogrzewania; przedstawienie dokładnego budżetu (rozdzielonego na konkretne miesiące 2024 roku) przeznaczonego na pokrycie powyżej opisanych planów</w:t>
            </w:r>
          </w:p>
        </w:tc>
        <w:tc>
          <w:tcPr>
            <w:tcW w:w="1898" w:type="dxa"/>
          </w:tcPr>
          <w:p w:rsidR="00C55BF5" w:rsidRDefault="00C55BF5" w:rsidP="00C55BF5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  <w:trHeight w:val="2373"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Prezydenta m. st. Warszawy wraz z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przedstawieniem szczegółowego planu skutecznego oddłużania lokatorów i lokatorek mieszkań zasobu gminnego zadłużonych w wyniku procedury naliczania czynszów karnych; przedstawienie dokładnego budżetu (rozdzielonego na konkretne miesiące 2024 roku) przeznaczonego na pokrycie powyżej opisanych planów</w:t>
            </w:r>
          </w:p>
        </w:tc>
        <w:tc>
          <w:tcPr>
            <w:tcW w:w="1898" w:type="dxa"/>
          </w:tcPr>
          <w:p w:rsidR="00C55BF5" w:rsidRDefault="00C55BF5" w:rsidP="00C55BF5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  <w:trHeight w:val="68"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Prezydenta m. st. Warszawy wraz z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przedstawieniem dokumentacji dotyczącej kosztów utrzymania warszawskich pustostanów; przedstawienie szczegółowych planów: renowacji warszawskich pustostanów w ramach poszerzania mieszkaniowego zasobu gminnego m.st. Warszawy oraz budowy nowych mieszkań komunalnych i socjalnych w ramach wywiązania się z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obietnicy Rafała Trzaskowskiego o budowie 1500 mieszkań „na tani wynajem” rocznie; przedstawienie dokładnego budżetu (rozdzielonego na konkretne miesiące 2024 roku) przeznaczonego na pokrycie powyżej opisanych planów</w:t>
            </w:r>
          </w:p>
        </w:tc>
        <w:tc>
          <w:tcPr>
            <w:tcW w:w="1898" w:type="dxa"/>
          </w:tcPr>
          <w:p w:rsidR="00C55BF5" w:rsidRDefault="00C55BF5" w:rsidP="00C55BF5">
            <w:r w:rsidRPr="0024206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  <w:trHeight w:val="68"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Informacja Prezydenta m. st. Warszawy wraz z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przedstawieniem szczegółowego planu zmiany systemu gospodarowania odpadami na opłaty proporcjonalne do liczby zamieszkujących dane mieszkanie lokatorów i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lokatorek</w:t>
            </w:r>
          </w:p>
        </w:tc>
        <w:tc>
          <w:tcPr>
            <w:tcW w:w="1898" w:type="dxa"/>
          </w:tcPr>
          <w:p w:rsidR="00C55BF5" w:rsidRDefault="00C55BF5" w:rsidP="00C55BF5">
            <w:r w:rsidRPr="0024206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  <w:trHeight w:val="68"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Interpelacje i zapytania radnych</w:t>
            </w:r>
          </w:p>
        </w:tc>
        <w:tc>
          <w:tcPr>
            <w:tcW w:w="1898" w:type="dxa"/>
          </w:tcPr>
          <w:p w:rsidR="00C55BF5" w:rsidRDefault="00C55BF5" w:rsidP="00C55BF5">
            <w:r w:rsidRPr="0024206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  <w:trHeight w:val="68"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</w:tcPr>
          <w:p w:rsidR="00C55BF5" w:rsidRDefault="00C55BF5" w:rsidP="00C55BF5">
            <w:r w:rsidRPr="0024206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C55BF5" w:rsidRPr="00E37142" w:rsidTr="00A6438A">
        <w:trPr>
          <w:cantSplit/>
          <w:trHeight w:val="68"/>
        </w:trPr>
        <w:tc>
          <w:tcPr>
            <w:tcW w:w="685" w:type="dxa"/>
            <w:vAlign w:val="center"/>
          </w:tcPr>
          <w:p w:rsidR="00C55BF5" w:rsidRPr="00E37142" w:rsidRDefault="00C55BF5" w:rsidP="00C55BF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5BF5" w:rsidRDefault="00C55BF5" w:rsidP="00C55BF5">
            <w:r w:rsidRPr="0045533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6045" w:type="dxa"/>
          </w:tcPr>
          <w:p w:rsidR="00C55BF5" w:rsidRPr="00B21BBF" w:rsidRDefault="00C55BF5" w:rsidP="00C55BF5">
            <w:pPr>
              <w:spacing w:line="300" w:lineRule="auto"/>
              <w:ind w:left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C2ED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Zamknięcie posiedzenia</w:t>
            </w:r>
          </w:p>
        </w:tc>
        <w:tc>
          <w:tcPr>
            <w:tcW w:w="1898" w:type="dxa"/>
          </w:tcPr>
          <w:p w:rsidR="00C55BF5" w:rsidRDefault="00C55BF5" w:rsidP="00C55BF5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C55BF5" w:rsidRDefault="00C55BF5" w:rsidP="00C55BF5">
            <w:r w:rsidRPr="008E047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C55BF5" w:rsidRDefault="00C55BF5" w:rsidP="00C55BF5">
            <w:r w:rsidRPr="00E71D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E37142" w:rsidRDefault="004C5657" w:rsidP="00E3714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E37142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34" w:rsidRDefault="001E0C34" w:rsidP="00E2754A">
      <w:r>
        <w:separator/>
      </w:r>
    </w:p>
  </w:endnote>
  <w:endnote w:type="continuationSeparator" w:id="0">
    <w:p w:rsidR="001E0C34" w:rsidRDefault="001E0C34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0C34" w:rsidRDefault="001E0C34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6438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6438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E0C34" w:rsidRDefault="001E0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34" w:rsidRDefault="001E0C34" w:rsidP="00E2754A">
      <w:r>
        <w:separator/>
      </w:r>
    </w:p>
  </w:footnote>
  <w:footnote w:type="continuationSeparator" w:id="0">
    <w:p w:rsidR="001E0C34" w:rsidRDefault="001E0C34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2AE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7E5E"/>
    <w:rsid w:val="00024E39"/>
    <w:rsid w:val="00033964"/>
    <w:rsid w:val="00034C8A"/>
    <w:rsid w:val="000361A6"/>
    <w:rsid w:val="00037476"/>
    <w:rsid w:val="00050D47"/>
    <w:rsid w:val="00051B5B"/>
    <w:rsid w:val="00054141"/>
    <w:rsid w:val="00056D97"/>
    <w:rsid w:val="000776AC"/>
    <w:rsid w:val="00086D85"/>
    <w:rsid w:val="00092507"/>
    <w:rsid w:val="000966ED"/>
    <w:rsid w:val="000A69DB"/>
    <w:rsid w:val="000C5C4F"/>
    <w:rsid w:val="000C7AFD"/>
    <w:rsid w:val="000E793F"/>
    <w:rsid w:val="0010175B"/>
    <w:rsid w:val="00104467"/>
    <w:rsid w:val="00123136"/>
    <w:rsid w:val="00141627"/>
    <w:rsid w:val="00171075"/>
    <w:rsid w:val="00187F9F"/>
    <w:rsid w:val="001B0CA6"/>
    <w:rsid w:val="001B5321"/>
    <w:rsid w:val="001D5927"/>
    <w:rsid w:val="001E0C34"/>
    <w:rsid w:val="00201CA7"/>
    <w:rsid w:val="002110DC"/>
    <w:rsid w:val="002147FF"/>
    <w:rsid w:val="002171A7"/>
    <w:rsid w:val="00231D21"/>
    <w:rsid w:val="002422BC"/>
    <w:rsid w:val="0024713B"/>
    <w:rsid w:val="00272FA9"/>
    <w:rsid w:val="002744AC"/>
    <w:rsid w:val="002756D1"/>
    <w:rsid w:val="00290CCD"/>
    <w:rsid w:val="002B7EAD"/>
    <w:rsid w:val="002E336A"/>
    <w:rsid w:val="00321F89"/>
    <w:rsid w:val="00325FFE"/>
    <w:rsid w:val="003336A0"/>
    <w:rsid w:val="0033769C"/>
    <w:rsid w:val="00363FFA"/>
    <w:rsid w:val="003658AF"/>
    <w:rsid w:val="00395A7F"/>
    <w:rsid w:val="003B6BEE"/>
    <w:rsid w:val="003F4C53"/>
    <w:rsid w:val="00401DC3"/>
    <w:rsid w:val="0040361C"/>
    <w:rsid w:val="00427274"/>
    <w:rsid w:val="00431BD3"/>
    <w:rsid w:val="00431C83"/>
    <w:rsid w:val="00435F1A"/>
    <w:rsid w:val="00443A88"/>
    <w:rsid w:val="004642DC"/>
    <w:rsid w:val="00494184"/>
    <w:rsid w:val="004A370F"/>
    <w:rsid w:val="004B2C92"/>
    <w:rsid w:val="004B6DA0"/>
    <w:rsid w:val="004B7285"/>
    <w:rsid w:val="004B73BA"/>
    <w:rsid w:val="004C5657"/>
    <w:rsid w:val="004E6362"/>
    <w:rsid w:val="004E7ABE"/>
    <w:rsid w:val="004F0975"/>
    <w:rsid w:val="004F485C"/>
    <w:rsid w:val="0050021D"/>
    <w:rsid w:val="0051163A"/>
    <w:rsid w:val="0051686D"/>
    <w:rsid w:val="00522746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68E5"/>
    <w:rsid w:val="005B4720"/>
    <w:rsid w:val="005C2D1E"/>
    <w:rsid w:val="005C65DD"/>
    <w:rsid w:val="005D2854"/>
    <w:rsid w:val="005E5862"/>
    <w:rsid w:val="005F33FA"/>
    <w:rsid w:val="00604175"/>
    <w:rsid w:val="00656AC8"/>
    <w:rsid w:val="00667DD0"/>
    <w:rsid w:val="0067588E"/>
    <w:rsid w:val="00677AC8"/>
    <w:rsid w:val="0069530E"/>
    <w:rsid w:val="006A1D12"/>
    <w:rsid w:val="006B1F79"/>
    <w:rsid w:val="006C1CEF"/>
    <w:rsid w:val="006C5DCD"/>
    <w:rsid w:val="006D6A82"/>
    <w:rsid w:val="006F0800"/>
    <w:rsid w:val="00703B2F"/>
    <w:rsid w:val="00713FFD"/>
    <w:rsid w:val="00722916"/>
    <w:rsid w:val="007270F7"/>
    <w:rsid w:val="00727E11"/>
    <w:rsid w:val="00766662"/>
    <w:rsid w:val="00766A21"/>
    <w:rsid w:val="00771D5A"/>
    <w:rsid w:val="00784AB3"/>
    <w:rsid w:val="00785984"/>
    <w:rsid w:val="007A1F55"/>
    <w:rsid w:val="007B77E8"/>
    <w:rsid w:val="007D2513"/>
    <w:rsid w:val="007D464B"/>
    <w:rsid w:val="007D5CA7"/>
    <w:rsid w:val="007E1C32"/>
    <w:rsid w:val="007E4300"/>
    <w:rsid w:val="007E7388"/>
    <w:rsid w:val="007F12F7"/>
    <w:rsid w:val="007F4CE6"/>
    <w:rsid w:val="007F68AB"/>
    <w:rsid w:val="00820212"/>
    <w:rsid w:val="0084178E"/>
    <w:rsid w:val="00843A10"/>
    <w:rsid w:val="00861FCC"/>
    <w:rsid w:val="00887A96"/>
    <w:rsid w:val="008A1696"/>
    <w:rsid w:val="008B14E1"/>
    <w:rsid w:val="008D5349"/>
    <w:rsid w:val="008E3C1A"/>
    <w:rsid w:val="008E3CBD"/>
    <w:rsid w:val="008E6207"/>
    <w:rsid w:val="008E6DD0"/>
    <w:rsid w:val="008F4E81"/>
    <w:rsid w:val="00905C5F"/>
    <w:rsid w:val="00910EAE"/>
    <w:rsid w:val="009256AE"/>
    <w:rsid w:val="00935D13"/>
    <w:rsid w:val="0096726F"/>
    <w:rsid w:val="0097585E"/>
    <w:rsid w:val="00977AF1"/>
    <w:rsid w:val="00985701"/>
    <w:rsid w:val="009873C7"/>
    <w:rsid w:val="00994584"/>
    <w:rsid w:val="009F2EF4"/>
    <w:rsid w:val="00A04601"/>
    <w:rsid w:val="00A21913"/>
    <w:rsid w:val="00A249FC"/>
    <w:rsid w:val="00A2648E"/>
    <w:rsid w:val="00A339D5"/>
    <w:rsid w:val="00A36413"/>
    <w:rsid w:val="00A432BD"/>
    <w:rsid w:val="00A474B3"/>
    <w:rsid w:val="00A53CBD"/>
    <w:rsid w:val="00A6438A"/>
    <w:rsid w:val="00A74D71"/>
    <w:rsid w:val="00A847C6"/>
    <w:rsid w:val="00A93C53"/>
    <w:rsid w:val="00A95976"/>
    <w:rsid w:val="00AA590B"/>
    <w:rsid w:val="00AB5F36"/>
    <w:rsid w:val="00AD015F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92D44"/>
    <w:rsid w:val="00B930AD"/>
    <w:rsid w:val="00B94F46"/>
    <w:rsid w:val="00BC614A"/>
    <w:rsid w:val="00BF0E3F"/>
    <w:rsid w:val="00C05970"/>
    <w:rsid w:val="00C40BE2"/>
    <w:rsid w:val="00C55BF5"/>
    <w:rsid w:val="00C6338B"/>
    <w:rsid w:val="00C64118"/>
    <w:rsid w:val="00CA0264"/>
    <w:rsid w:val="00CA7025"/>
    <w:rsid w:val="00CB02E7"/>
    <w:rsid w:val="00CB2231"/>
    <w:rsid w:val="00CC3486"/>
    <w:rsid w:val="00CC4652"/>
    <w:rsid w:val="00CD46DD"/>
    <w:rsid w:val="00CE4ACA"/>
    <w:rsid w:val="00CF4322"/>
    <w:rsid w:val="00D115AF"/>
    <w:rsid w:val="00D21656"/>
    <w:rsid w:val="00D509D8"/>
    <w:rsid w:val="00D72F76"/>
    <w:rsid w:val="00D77E77"/>
    <w:rsid w:val="00DD191B"/>
    <w:rsid w:val="00DE1110"/>
    <w:rsid w:val="00E013F0"/>
    <w:rsid w:val="00E01F7C"/>
    <w:rsid w:val="00E17D8E"/>
    <w:rsid w:val="00E231C3"/>
    <w:rsid w:val="00E2754A"/>
    <w:rsid w:val="00E37142"/>
    <w:rsid w:val="00E42789"/>
    <w:rsid w:val="00E537CB"/>
    <w:rsid w:val="00E57DF3"/>
    <w:rsid w:val="00E61DF1"/>
    <w:rsid w:val="00E654A2"/>
    <w:rsid w:val="00E74F0A"/>
    <w:rsid w:val="00E87C20"/>
    <w:rsid w:val="00E93FF9"/>
    <w:rsid w:val="00EA3B30"/>
    <w:rsid w:val="00EB21E5"/>
    <w:rsid w:val="00EC3B96"/>
    <w:rsid w:val="00ED658A"/>
    <w:rsid w:val="00EF129F"/>
    <w:rsid w:val="00EF7D7A"/>
    <w:rsid w:val="00F21D60"/>
    <w:rsid w:val="00F2737D"/>
    <w:rsid w:val="00F34B28"/>
    <w:rsid w:val="00F35369"/>
    <w:rsid w:val="00F43ED9"/>
    <w:rsid w:val="00F63DF3"/>
    <w:rsid w:val="00F64DB2"/>
    <w:rsid w:val="00F71541"/>
    <w:rsid w:val="00F75AFB"/>
    <w:rsid w:val="00F8102F"/>
    <w:rsid w:val="00F913B6"/>
    <w:rsid w:val="00FA214E"/>
    <w:rsid w:val="00FD2DC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71C7-8BDF-4AE3-AB46-C6EEC0E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AF28-01D3-472D-B9CA-D282E710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93 sesji Rady m.st. Warszawy 11 stycznia 2024 r.</vt:lpstr>
    </vt:vector>
  </TitlesOfParts>
  <Company>Urzad Miasta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94 sesji Rady m.st. Warszawy 11 stycznia 2024 r.</dc:title>
  <dc:subject/>
  <dc:creator>lceglowski@um.warszawa.pl</dc:creator>
  <cp:keywords/>
  <dc:description/>
  <cp:lastModifiedBy>Cegłowski Leszek (RW)</cp:lastModifiedBy>
  <cp:revision>27</cp:revision>
  <cp:lastPrinted>2023-09-01T09:19:00Z</cp:lastPrinted>
  <dcterms:created xsi:type="dcterms:W3CDTF">2023-11-17T08:02:00Z</dcterms:created>
  <dcterms:modified xsi:type="dcterms:W3CDTF">2024-01-12T11:00:00Z</dcterms:modified>
</cp:coreProperties>
</file>